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440"/>
        <w:gridCol w:w="8928"/>
      </w:tblGrid>
      <w:tr>
        <w:tc>
          <w:tcPr>
            <w:tcW w:type="dxa" w:w="1440"/>
            <w:shd w:fill="06111E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640080" cy="64008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a-mark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0" cy="6400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8928"/>
            <w:shd w:fill="0A1C2F"/>
          </w:tcPr>
          <w:p>
            <w:pPr>
              <w:spacing w:after="0"/>
            </w:pPr>
            <w:r>
              <w:rPr>
                <w:b/>
                <w:color w:val="FFFFFF"/>
                <w:sz w:val="34"/>
              </w:rPr>
              <w:t>TECH ARMADA</w:t>
              <w:br/>
            </w:r>
            <w:r>
              <w:rPr>
                <w:b/>
                <w:color w:val="1693F3"/>
                <w:sz w:val="25"/>
              </w:rPr>
              <w:t>System Security Plan Starter Template</w:t>
              <w:br/>
            </w:r>
            <w:r>
              <w:rPr>
                <w:color w:val="DCE7F4"/>
                <w:sz w:val="19"/>
              </w:rPr>
              <w:t>For CMMC Level 1 and Level 2 project drafting</w:t>
            </w:r>
          </w:p>
        </w:tc>
      </w:tr>
    </w:tbl>
    <w:p/>
    <w:p>
      <w:pPr>
        <w:spacing w:after="80"/>
      </w:pPr>
      <w:r>
        <w:rPr>
          <w:i/>
          <w:color w:val="5F738A"/>
          <w:sz w:val="18"/>
        </w:rPr>
        <w:t>Use this editable starter to document the scoped environment, data handled, system boundary, inherited services, and implementation notes.</w:t>
      </w:r>
    </w:p>
    <w:p>
      <w:pPr>
        <w:spacing w:before="160" w:after="80"/>
      </w:pPr>
      <w:r>
        <w:rPr>
          <w:b/>
          <w:color w:val="06111E"/>
          <w:sz w:val="28"/>
        </w:rPr>
        <w:t>1. System Overview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2880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Field</w:t>
            </w:r>
          </w:p>
        </w:tc>
        <w:tc>
          <w:tcPr>
            <w:tcW w:type="dxa" w:w="6912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Draft Entry</w:t>
            </w:r>
          </w:p>
        </w:tc>
      </w:tr>
      <w:tr>
        <w:tc>
          <w:tcPr>
            <w:tcW w:type="dxa" w:w="2880"/>
          </w:tcPr>
          <w:p>
            <w:r>
              <w:rPr>
                <w:sz w:val="19"/>
              </w:rPr>
              <w:t>Organization name</w:t>
            </w:r>
          </w:p>
        </w:tc>
        <w:tc>
          <w:tcPr>
            <w:tcW w:type="dxa" w:w="6912"/>
          </w:tcPr>
          <w:p>
            <w:r>
              <w:rPr>
                <w:sz w:val="19"/>
              </w:rPr>
              <w:t>[Enter legal entity / assessed organization]</w:t>
            </w:r>
          </w:p>
        </w:tc>
      </w:tr>
      <w:tr>
        <w:tc>
          <w:tcPr>
            <w:tcW w:type="dxa" w:w="2880"/>
          </w:tcPr>
          <w:p>
            <w:r>
              <w:rPr>
                <w:sz w:val="19"/>
              </w:rPr>
              <w:t>Project name</w:t>
            </w:r>
          </w:p>
        </w:tc>
        <w:tc>
          <w:tcPr>
            <w:tcW w:type="dxa" w:w="6912"/>
          </w:tcPr>
          <w:p>
            <w:r>
              <w:rPr>
                <w:sz w:val="19"/>
              </w:rPr>
              <w:t>[Enter project name]</w:t>
            </w:r>
          </w:p>
        </w:tc>
      </w:tr>
      <w:tr>
        <w:tc>
          <w:tcPr>
            <w:tcW w:type="dxa" w:w="2880"/>
          </w:tcPr>
          <w:p>
            <w:r>
              <w:rPr>
                <w:sz w:val="19"/>
              </w:rPr>
              <w:t>System name</w:t>
            </w:r>
          </w:p>
        </w:tc>
        <w:tc>
          <w:tcPr>
            <w:tcW w:type="dxa" w:w="6912"/>
          </w:tcPr>
          <w:p>
            <w:r>
              <w:rPr>
                <w:sz w:val="19"/>
              </w:rPr>
              <w:t>[Enter system or enclave name]</w:t>
            </w:r>
          </w:p>
        </w:tc>
      </w:tr>
      <w:tr>
        <w:tc>
          <w:tcPr>
            <w:tcW w:type="dxa" w:w="2880"/>
          </w:tcPr>
          <w:p>
            <w:r>
              <w:rPr>
                <w:sz w:val="19"/>
              </w:rPr>
              <w:t>Project level</w:t>
            </w:r>
          </w:p>
        </w:tc>
        <w:tc>
          <w:tcPr>
            <w:tcW w:type="dxa" w:w="6912"/>
          </w:tcPr>
          <w:p>
            <w:r>
              <w:rPr>
                <w:sz w:val="19"/>
              </w:rPr>
              <w:t>[L1 or L2]</w:t>
            </w:r>
          </w:p>
        </w:tc>
      </w:tr>
      <w:tr>
        <w:tc>
          <w:tcPr>
            <w:tcW w:type="dxa" w:w="2880"/>
          </w:tcPr>
          <w:p>
            <w:r>
              <w:rPr>
                <w:sz w:val="19"/>
              </w:rPr>
              <w:t>Assessment boundary summary</w:t>
            </w:r>
          </w:p>
        </w:tc>
        <w:tc>
          <w:tcPr>
            <w:tcW w:type="dxa" w:w="6912"/>
          </w:tcPr>
          <w:p>
            <w:r>
              <w:rPr>
                <w:sz w:val="19"/>
              </w:rPr>
              <w:t>[Describe the in-scope environment]</w:t>
            </w:r>
          </w:p>
        </w:tc>
      </w:tr>
      <w:tr>
        <w:tc>
          <w:tcPr>
            <w:tcW w:type="dxa" w:w="2880"/>
          </w:tcPr>
          <w:p>
            <w:r>
              <w:rPr>
                <w:sz w:val="19"/>
              </w:rPr>
              <w:t>Primary point of contact</w:t>
            </w:r>
          </w:p>
        </w:tc>
        <w:tc>
          <w:tcPr>
            <w:tcW w:type="dxa" w:w="6912"/>
          </w:tcPr>
          <w:p>
            <w:r>
              <w:rPr>
                <w:sz w:val="19"/>
              </w:rPr>
              <w:t>[Name / title / email / phone]</w:t>
            </w:r>
          </w:p>
        </w:tc>
      </w:tr>
    </w:tbl>
    <w:p/>
    <w:p>
      <w:pPr>
        <w:spacing w:before="160" w:after="80"/>
      </w:pPr>
      <w:r>
        <w:rPr>
          <w:b/>
          <w:color w:val="1693F3"/>
          <w:sz w:val="22"/>
        </w:rPr>
        <w:t>2. Boundary and Architecture</w:t>
      </w:r>
    </w:p>
    <w:p>
      <w:pPr>
        <w:pStyle w:val="ListBullet"/>
        <w:spacing w:after="40"/>
      </w:pPr>
      <w:r>
        <w:rPr>
          <w:sz w:val="21"/>
        </w:rPr>
        <w:t>Describe the physical, logical, and administrative boundary.</w:t>
      </w:r>
    </w:p>
    <w:p>
      <w:pPr>
        <w:pStyle w:val="ListBullet"/>
        <w:spacing w:after="40"/>
      </w:pPr>
      <w:r>
        <w:rPr>
          <w:sz w:val="21"/>
        </w:rPr>
        <w:t>List major platforms, hosting models, remote access paths, and inherited services.</w:t>
      </w:r>
    </w:p>
    <w:p>
      <w:pPr>
        <w:pStyle w:val="ListBullet"/>
        <w:spacing w:after="40"/>
      </w:pPr>
      <w:r>
        <w:rPr>
          <w:sz w:val="21"/>
        </w:rPr>
        <w:t>Identify external systems and shared service dependencies.</w:t>
      </w:r>
    </w:p>
    <w:p>
      <w:pPr>
        <w:spacing w:before="160" w:after="80"/>
      </w:pPr>
      <w:r>
        <w:rPr>
          <w:b/>
          <w:color w:val="1693F3"/>
          <w:sz w:val="22"/>
        </w:rPr>
        <w:t>3. Information Types in Scope</w:t>
      </w:r>
    </w:p>
    <w:p>
      <w:pPr>
        <w:pStyle w:val="ListBullet"/>
        <w:spacing w:after="40"/>
      </w:pPr>
      <w:r>
        <w:rPr>
          <w:sz w:val="21"/>
        </w:rPr>
        <w:t>Identify whether the system handles FCI, CUI, or both.</w:t>
      </w:r>
    </w:p>
    <w:p>
      <w:pPr>
        <w:pStyle w:val="ListBullet"/>
        <w:spacing w:after="40"/>
      </w:pPr>
      <w:r>
        <w:rPr>
          <w:sz w:val="21"/>
        </w:rPr>
        <w:t>Describe where the data is created, stored, transmitted, and archived.</w:t>
      </w:r>
    </w:p>
    <w:p>
      <w:pPr>
        <w:pStyle w:val="ListBullet"/>
        <w:spacing w:after="40"/>
      </w:pPr>
      <w:r>
        <w:rPr>
          <w:sz w:val="21"/>
        </w:rPr>
        <w:t>Name the users, administrators, and external parties that interact with the data.</w:t>
      </w:r>
    </w:p>
    <w:p>
      <w:pPr>
        <w:spacing w:before="160" w:after="80"/>
      </w:pPr>
      <w:r>
        <w:rPr>
          <w:b/>
          <w:color w:val="1693F3"/>
          <w:sz w:val="22"/>
        </w:rPr>
        <w:t>4. Asset Summary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2592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Category</w:t>
            </w:r>
          </w:p>
        </w:tc>
        <w:tc>
          <w:tcPr>
            <w:tcW w:type="dxa" w:w="7200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Example In-Scope Assets / Notes</w:t>
            </w:r>
          </w:p>
        </w:tc>
      </w:tr>
      <w:tr>
        <w:tc>
          <w:tcPr>
            <w:tcW w:type="dxa" w:w="2592"/>
          </w:tcPr>
          <w:p>
            <w:r>
              <w:rPr>
                <w:sz w:val="19"/>
              </w:rPr>
              <w:t>Endpoints</w:t>
            </w:r>
          </w:p>
        </w:tc>
        <w:tc>
          <w:tcPr>
            <w:tcW w:type="dxa" w:w="7200"/>
          </w:tcPr>
          <w:p>
            <w:r>
              <w:rPr>
                <w:sz w:val="19"/>
              </w:rPr>
              <w:t>[Laptops, desktops, mobile devices]</w:t>
            </w:r>
          </w:p>
        </w:tc>
      </w:tr>
      <w:tr>
        <w:tc>
          <w:tcPr>
            <w:tcW w:type="dxa" w:w="2592"/>
          </w:tcPr>
          <w:p>
            <w:r>
              <w:rPr>
                <w:sz w:val="19"/>
              </w:rPr>
              <w:t>Servers / VMs</w:t>
            </w:r>
          </w:p>
        </w:tc>
        <w:tc>
          <w:tcPr>
            <w:tcW w:type="dxa" w:w="7200"/>
          </w:tcPr>
          <w:p>
            <w:r>
              <w:rPr>
                <w:sz w:val="19"/>
              </w:rPr>
              <w:t>[Domain controllers, file servers, app servers]</w:t>
            </w:r>
          </w:p>
        </w:tc>
      </w:tr>
      <w:tr>
        <w:tc>
          <w:tcPr>
            <w:tcW w:type="dxa" w:w="2592"/>
          </w:tcPr>
          <w:p>
            <w:r>
              <w:rPr>
                <w:sz w:val="19"/>
              </w:rPr>
              <w:t>Network</w:t>
            </w:r>
          </w:p>
        </w:tc>
        <w:tc>
          <w:tcPr>
            <w:tcW w:type="dxa" w:w="7200"/>
          </w:tcPr>
          <w:p>
            <w:r>
              <w:rPr>
                <w:sz w:val="19"/>
              </w:rPr>
              <w:t>[Firewalls, switches, wireless, VPN]</w:t>
            </w:r>
          </w:p>
        </w:tc>
      </w:tr>
      <w:tr>
        <w:tc>
          <w:tcPr>
            <w:tcW w:type="dxa" w:w="2592"/>
          </w:tcPr>
          <w:p>
            <w:r>
              <w:rPr>
                <w:sz w:val="19"/>
              </w:rPr>
              <w:t>Cloud / SaaS</w:t>
            </w:r>
          </w:p>
        </w:tc>
        <w:tc>
          <w:tcPr>
            <w:tcW w:type="dxa" w:w="7200"/>
          </w:tcPr>
          <w:p>
            <w:r>
              <w:rPr>
                <w:sz w:val="19"/>
              </w:rPr>
              <w:t>[Email, file sharing, ticketing, backup, EDR]</w:t>
            </w:r>
          </w:p>
        </w:tc>
      </w:tr>
      <w:tr>
        <w:tc>
          <w:tcPr>
            <w:tcW w:type="dxa" w:w="2592"/>
          </w:tcPr>
          <w:p>
            <w:r>
              <w:rPr>
                <w:sz w:val="19"/>
              </w:rPr>
              <w:t>Security Tooling</w:t>
            </w:r>
          </w:p>
        </w:tc>
        <w:tc>
          <w:tcPr>
            <w:tcW w:type="dxa" w:w="7200"/>
          </w:tcPr>
          <w:p>
            <w:r>
              <w:rPr>
                <w:sz w:val="19"/>
              </w:rPr>
              <w:t>[MFA, SIEM, logging, vulnerability scanning]</w:t>
            </w:r>
          </w:p>
        </w:tc>
      </w:tr>
    </w:tbl>
    <w:p/>
    <w:p>
      <w:pPr>
        <w:spacing w:before="160" w:after="80"/>
      </w:pPr>
      <w:r>
        <w:rPr>
          <w:b/>
          <w:color w:val="1693F3"/>
          <w:sz w:val="22"/>
        </w:rPr>
        <w:t>5. Requirement Implementation Notes</w:t>
      </w:r>
    </w:p>
    <w:p>
      <w:pPr>
        <w:spacing w:after="80"/>
      </w:pPr>
      <w:r>
        <w:rPr>
          <w:i/>
          <w:color w:val="5F738A"/>
          <w:sz w:val="18"/>
        </w:rPr>
        <w:t>Add one row for each FAR 52.204-21 or NIST SP 800-171 requirement you want to document in the plan.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3360"/>
        <w:gridCol w:w="3360"/>
        <w:gridCol w:w="3360"/>
      </w:tblGrid>
      <w:tr>
        <w:tc>
          <w:tcPr>
            <w:tcW w:type="dxa" w:w="2448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Requirement</w:t>
            </w:r>
          </w:p>
        </w:tc>
        <w:tc>
          <w:tcPr>
            <w:tcW w:type="dxa" w:w="5616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Implementation summary</w:t>
            </w:r>
          </w:p>
        </w:tc>
        <w:tc>
          <w:tcPr>
            <w:tcW w:type="dxa" w:w="2448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Evidence / reference</w:t>
            </w:r>
          </w:p>
        </w:tc>
      </w:tr>
      <w:tr>
        <w:tc>
          <w:tcPr>
            <w:tcW w:type="dxa" w:w="2448"/>
          </w:tcPr>
          <w:p>
            <w:r>
              <w:rPr>
                <w:sz w:val="19"/>
              </w:rPr>
              <w:t>[e.g., AC.L1-3.1.1 or 3.1.1]</w:t>
            </w:r>
          </w:p>
        </w:tc>
        <w:tc>
          <w:tcPr>
            <w:tcW w:type="dxa" w:w="5616"/>
          </w:tcPr>
          <w:p>
            <w:r>
              <w:rPr>
                <w:sz w:val="19"/>
              </w:rPr>
              <w:t>[How the requirement is implemented]</w:t>
            </w:r>
          </w:p>
        </w:tc>
        <w:tc>
          <w:tcPr>
            <w:tcW w:type="dxa" w:w="2448"/>
          </w:tcPr>
          <w:p>
            <w:r>
              <w:rPr>
                <w:sz w:val="19"/>
              </w:rPr>
              <w:t>[Procedure, screenshot, ticket, setting, or other evidence]</w:t>
            </w:r>
          </w:p>
        </w:tc>
      </w:tr>
      <w:tr>
        <w:tc>
          <w:tcPr>
            <w:tcW w:type="dxa" w:w="2448"/>
          </w:tcPr>
          <w:p>
            <w:r>
              <w:rPr>
                <w:sz w:val="19"/>
              </w:rPr>
            </w:r>
          </w:p>
        </w:tc>
        <w:tc>
          <w:tcPr>
            <w:tcW w:type="dxa" w:w="5616"/>
          </w:tcPr>
          <w:p>
            <w:r>
              <w:rPr>
                <w:sz w:val="19"/>
              </w:rPr>
            </w:r>
          </w:p>
        </w:tc>
        <w:tc>
          <w:tcPr>
            <w:tcW w:type="dxa" w:w="2448"/>
          </w:tcPr>
          <w:p>
            <w:r>
              <w:rPr>
                <w:sz w:val="19"/>
              </w:rPr>
            </w:r>
          </w:p>
        </w:tc>
      </w:tr>
      <w:tr>
        <w:tc>
          <w:tcPr>
            <w:tcW w:type="dxa" w:w="2448"/>
          </w:tcPr>
          <w:p>
            <w:r>
              <w:rPr>
                <w:sz w:val="19"/>
              </w:rPr>
            </w:r>
          </w:p>
        </w:tc>
        <w:tc>
          <w:tcPr>
            <w:tcW w:type="dxa" w:w="5616"/>
          </w:tcPr>
          <w:p>
            <w:r>
              <w:rPr>
                <w:sz w:val="19"/>
              </w:rPr>
            </w:r>
          </w:p>
        </w:tc>
        <w:tc>
          <w:tcPr>
            <w:tcW w:type="dxa" w:w="2448"/>
          </w:tcPr>
          <w:p>
            <w:r>
              <w:rPr>
                <w:sz w:val="19"/>
              </w:rPr>
            </w:r>
          </w:p>
        </w:tc>
      </w:tr>
    </w:tbl>
    <w:p/>
    <w:p>
      <w:pPr>
        <w:spacing w:before="160" w:after="80"/>
      </w:pPr>
      <w:r>
        <w:rPr>
          <w:b/>
          <w:color w:val="1693F3"/>
          <w:sz w:val="22"/>
        </w:rPr>
        <w:t>6. Roles, Procedures, and Review Cadence</w:t>
      </w:r>
    </w:p>
    <w:p>
      <w:pPr>
        <w:pStyle w:val="ListBullet"/>
        <w:spacing w:after="40"/>
      </w:pPr>
      <w:r>
        <w:rPr>
          <w:sz w:val="21"/>
        </w:rPr>
        <w:t>Identify the owner of the system, SSP maintainer, approver, and review cadence.</w:t>
      </w:r>
    </w:p>
    <w:p>
      <w:pPr>
        <w:pStyle w:val="ListBullet"/>
        <w:spacing w:after="40"/>
      </w:pPr>
      <w:r>
        <w:rPr>
          <w:sz w:val="21"/>
        </w:rPr>
        <w:t>Describe how the SSP will be updated when systems, users, or controls change.</w:t>
      </w:r>
    </w:p>
    <w:p>
      <w:pPr>
        <w:pStyle w:val="ListBullet"/>
        <w:spacing w:after="40"/>
      </w:pPr>
      <w:r>
        <w:rPr>
          <w:sz w:val="21"/>
        </w:rPr>
        <w:t>Tie the SSP to the risk register, incident response plan, and contingency plan.</w:t>
      </w:r>
    </w:p>
    <w:sectPr w:rsidR="00FC693F" w:rsidRPr="0006063C" w:rsidSect="00034616">
      <w:pgSz w:w="12240" w:h="15840"/>
      <w:pgMar w:top="864" w:right="1080" w:bottom="864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